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5" w:rsidRDefault="00626605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D5002E" w:rsidRPr="00026852" w:rsidRDefault="00026852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852">
        <w:rPr>
          <w:rFonts w:asciiTheme="minorHAnsi" w:hAnsiTheme="minorHAnsi" w:cstheme="minorHAnsi"/>
          <w:b/>
          <w:sz w:val="32"/>
          <w:szCs w:val="32"/>
        </w:rPr>
        <w:t xml:space="preserve">MAS Moravský </w:t>
      </w:r>
      <w:proofErr w:type="gramStart"/>
      <w:r w:rsidRPr="00026852">
        <w:rPr>
          <w:rFonts w:asciiTheme="minorHAnsi" w:hAnsiTheme="minorHAnsi" w:cstheme="minorHAnsi"/>
          <w:b/>
          <w:sz w:val="32"/>
          <w:szCs w:val="32"/>
        </w:rPr>
        <w:t>kras z.s.</w:t>
      </w:r>
      <w:proofErr w:type="gramEnd"/>
      <w:r w:rsidRPr="000268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96190" w:rsidRPr="00026852">
        <w:rPr>
          <w:rFonts w:asciiTheme="minorHAnsi" w:hAnsiTheme="minorHAnsi" w:cstheme="minorHAnsi"/>
          <w:b/>
          <w:sz w:val="32"/>
          <w:szCs w:val="32"/>
        </w:rPr>
        <w:t>jako nositel strategie</w:t>
      </w:r>
      <w:r w:rsidR="00C0259D" w:rsidRPr="00026852">
        <w:rPr>
          <w:rFonts w:asciiTheme="minorHAnsi" w:hAnsiTheme="minorHAnsi" w:cstheme="minorHAnsi"/>
          <w:b/>
          <w:sz w:val="32"/>
          <w:szCs w:val="32"/>
        </w:rPr>
        <w:t xml:space="preserve"> komunitně vedeného místního rozvoje</w:t>
      </w:r>
      <w:r w:rsidR="00E96190" w:rsidRPr="0002685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26852">
        <w:rPr>
          <w:rFonts w:asciiTheme="minorHAnsi" w:hAnsiTheme="minorHAnsi" w:cstheme="minorHAnsi"/>
          <w:b/>
          <w:sz w:val="32"/>
          <w:szCs w:val="32"/>
        </w:rPr>
        <w:t>Moravský kras jinak</w:t>
      </w:r>
    </w:p>
    <w:p w:rsidR="00FD050B" w:rsidRPr="00026852" w:rsidRDefault="00FD050B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5002E" w:rsidRPr="00026852" w:rsidRDefault="00026852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852">
        <w:rPr>
          <w:rFonts w:asciiTheme="minorHAnsi" w:hAnsiTheme="minorHAnsi" w:cstheme="minorHAnsi"/>
          <w:b/>
          <w:sz w:val="32"/>
          <w:szCs w:val="32"/>
        </w:rPr>
        <w:t>v</w:t>
      </w:r>
      <w:r w:rsidR="00D5002E" w:rsidRPr="00026852">
        <w:rPr>
          <w:rFonts w:asciiTheme="minorHAnsi" w:hAnsiTheme="minorHAnsi" w:cstheme="minorHAnsi"/>
          <w:b/>
          <w:sz w:val="32"/>
          <w:szCs w:val="32"/>
        </w:rPr>
        <w:t>yhlašuje</w:t>
      </w:r>
    </w:p>
    <w:p w:rsidR="007E5F3D" w:rsidRPr="00026852" w:rsidRDefault="00626605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3</w:t>
      </w:r>
      <w:r w:rsidR="00D5002E" w:rsidRPr="00026852">
        <w:rPr>
          <w:rFonts w:asciiTheme="minorHAnsi" w:hAnsiTheme="minorHAnsi" w:cstheme="minorHAnsi"/>
          <w:b/>
          <w:sz w:val="32"/>
          <w:szCs w:val="32"/>
        </w:rPr>
        <w:t>. výzvu k předkládání žádostí o podporu</w:t>
      </w:r>
    </w:p>
    <w:p w:rsidR="00D5002E" w:rsidRPr="00026852" w:rsidRDefault="00D5002E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852">
        <w:rPr>
          <w:rFonts w:asciiTheme="minorHAnsi" w:hAnsiTheme="minorHAnsi" w:cstheme="minorHAnsi"/>
          <w:b/>
          <w:sz w:val="32"/>
          <w:szCs w:val="32"/>
        </w:rPr>
        <w:t>z</w:t>
      </w:r>
      <w:r w:rsidR="007E5F3D" w:rsidRPr="00026852">
        <w:rPr>
          <w:rFonts w:asciiTheme="minorHAnsi" w:hAnsiTheme="minorHAnsi" w:cstheme="minorHAnsi"/>
          <w:b/>
          <w:sz w:val="32"/>
          <w:szCs w:val="32"/>
        </w:rPr>
        <w:t> </w:t>
      </w:r>
      <w:r w:rsidRPr="00026852">
        <w:rPr>
          <w:rFonts w:asciiTheme="minorHAnsi" w:hAnsiTheme="minorHAnsi" w:cstheme="minorHAnsi"/>
          <w:b/>
          <w:sz w:val="32"/>
          <w:szCs w:val="32"/>
        </w:rPr>
        <w:t>Integrovaného regionálního operačního programu</w:t>
      </w:r>
    </w:p>
    <w:p w:rsidR="00FD050B" w:rsidRPr="00026852" w:rsidRDefault="00FD050B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26852" w:rsidRDefault="00FA0727" w:rsidP="00026852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 xml:space="preserve">MAS Moravský </w:t>
      </w:r>
      <w:proofErr w:type="gramStart"/>
      <w:r>
        <w:rPr>
          <w:rFonts w:asciiTheme="minorHAnsi" w:hAnsiTheme="minorHAnsi" w:cstheme="minorHAnsi"/>
          <w:b/>
          <w:caps/>
          <w:sz w:val="32"/>
          <w:szCs w:val="32"/>
        </w:rPr>
        <w:t>kras z.s.</w:t>
      </w:r>
      <w:proofErr w:type="gramEnd"/>
      <w:r>
        <w:rPr>
          <w:rFonts w:asciiTheme="minorHAnsi" w:hAnsiTheme="minorHAnsi" w:cstheme="minorHAnsi"/>
          <w:b/>
          <w:caps/>
          <w:sz w:val="32"/>
          <w:szCs w:val="32"/>
        </w:rPr>
        <w:t xml:space="preserve"> – irop - </w:t>
      </w:r>
      <w:r w:rsidR="00626605" w:rsidRPr="00626605">
        <w:rPr>
          <w:rFonts w:asciiTheme="minorHAnsi" w:hAnsiTheme="minorHAnsi" w:cstheme="minorHAnsi"/>
          <w:b/>
          <w:caps/>
          <w:sz w:val="32"/>
          <w:szCs w:val="32"/>
        </w:rPr>
        <w:t>Terminály veřejné dopravy a systémy P+R</w:t>
      </w:r>
    </w:p>
    <w:p w:rsidR="00626605" w:rsidRPr="00626605" w:rsidRDefault="00626605" w:rsidP="00026852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:rsidR="005D1548" w:rsidRPr="00026852" w:rsidRDefault="003F3B7F" w:rsidP="0002685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852">
        <w:rPr>
          <w:rFonts w:asciiTheme="minorHAnsi" w:hAnsiTheme="minorHAnsi" w:cstheme="minorHAnsi"/>
          <w:b/>
          <w:sz w:val="32"/>
          <w:szCs w:val="32"/>
        </w:rPr>
        <w:t>Vazba na příslušnou výzvu ŘO IROP</w:t>
      </w:r>
      <w:r w:rsidR="00026852" w:rsidRPr="00026852">
        <w:rPr>
          <w:rFonts w:asciiTheme="minorHAnsi" w:hAnsiTheme="minorHAnsi" w:cstheme="minorHAnsi"/>
          <w:b/>
          <w:sz w:val="32"/>
          <w:szCs w:val="32"/>
        </w:rPr>
        <w:t>: č. 53 UDRŽITELNÁ DOPRAVA – INTEGROVANÉ PROJEKTY CLLD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5D1548" w:rsidRPr="00FD75FE" w:rsidTr="005D1548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FD75FE" w:rsidRDefault="005D1548" w:rsidP="005D1548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026852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026852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Integrovaný regionální operační program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026852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026852">
              <w:rPr>
                <w:rFonts w:asciiTheme="minorHAnsi" w:hAnsiTheme="minorHAnsi"/>
                <w:b/>
                <w:sz w:val="22"/>
              </w:rPr>
              <w:t>Specifický cíl IROP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106F3E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026852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026852">
              <w:rPr>
                <w:rFonts w:asciiTheme="minorHAnsi" w:hAnsiTheme="minorHAnsi"/>
                <w:b/>
                <w:sz w:val="22"/>
              </w:rPr>
              <w:t>Číslo výzvy ŘO IROP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026852" w:rsidP="005D15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Číslo výzvy MAS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Default="00626605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  <w:p w:rsidR="00626605" w:rsidRPr="0065139E" w:rsidRDefault="0062660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Opatření integrované strategie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626605" w:rsidP="005D1548">
            <w:pPr>
              <w:rPr>
                <w:rFonts w:asciiTheme="minorHAnsi" w:hAnsiTheme="minorHAnsi"/>
                <w:sz w:val="22"/>
              </w:rPr>
            </w:pPr>
            <w:r w:rsidRPr="00626605">
              <w:rPr>
                <w:rFonts w:asciiTheme="minorHAnsi" w:hAnsiTheme="minorHAnsi"/>
                <w:sz w:val="22"/>
              </w:rPr>
              <w:t>Terminály veřejné dopravy a systémy P+R</w:t>
            </w:r>
          </w:p>
        </w:tc>
      </w:tr>
      <w:tr w:rsidR="005D1548" w:rsidRPr="00FD75FE" w:rsidTr="005D1548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548" w:rsidRPr="0065139E" w:rsidRDefault="005D1548" w:rsidP="005D1548">
            <w:pPr>
              <w:rPr>
                <w:rFonts w:asciiTheme="minorHAnsi" w:hAnsiTheme="minorHAnsi"/>
                <w:b/>
                <w:sz w:val="22"/>
              </w:rPr>
            </w:pPr>
            <w:r w:rsidRPr="0002476A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1548" w:rsidRPr="0065139E" w:rsidRDefault="005E2029" w:rsidP="005D154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="005D1548" w:rsidRPr="0065139E">
              <w:rPr>
                <w:rFonts w:asciiTheme="minorHAnsi" w:hAnsiTheme="minorHAnsi"/>
                <w:sz w:val="22"/>
              </w:rPr>
              <w:t>olová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02476A" w:rsidRPr="00FD75FE" w:rsidTr="0095312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476A" w:rsidRPr="0065139E" w:rsidRDefault="0002476A" w:rsidP="0002476A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  <w:r>
              <w:rPr>
                <w:rFonts w:asciiTheme="minorHAnsi" w:hAnsiTheme="minorHAnsi"/>
                <w:b/>
                <w:sz w:val="22"/>
              </w:rPr>
              <w:t xml:space="preserve"> MAS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76A" w:rsidRPr="0002476A" w:rsidRDefault="0002476A" w:rsidP="0002476A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</w:p>
          <w:p w:rsidR="0002476A" w:rsidRPr="0002476A" w:rsidRDefault="00FA0727" w:rsidP="00F30014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26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2017, 8</w:t>
            </w:r>
            <w:r w:rsid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02476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476A" w:rsidRPr="0065139E" w:rsidRDefault="0002476A" w:rsidP="0002476A">
            <w:pPr>
              <w:rPr>
                <w:rFonts w:asciiTheme="minorHAnsi" w:hAnsiTheme="minorHAnsi"/>
                <w:b/>
                <w:sz w:val="22"/>
              </w:rPr>
            </w:pPr>
            <w:r w:rsidRPr="003F3B7F">
              <w:rPr>
                <w:rFonts w:asciiTheme="minorHAnsi" w:hAnsiTheme="minorHAnsi"/>
                <w:b/>
                <w:sz w:val="22"/>
              </w:rPr>
              <w:lastRenderedPageBreak/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476A" w:rsidRPr="0002476A" w:rsidRDefault="00FA0727" w:rsidP="00F30014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</w:t>
            </w:r>
            <w:r w:rsidR="00796A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</w:t>
            </w:r>
            <w:r w:rsidR="00234387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2017</w:t>
            </w:r>
            <w:proofErr w:type="gramEnd"/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, 8</w:t>
            </w:r>
            <w:r w:rsid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02476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476A" w:rsidRPr="0065139E" w:rsidRDefault="0002476A" w:rsidP="0002476A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476A" w:rsidRPr="0002476A" w:rsidRDefault="00FA0727" w:rsidP="00F30014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2</w:t>
            </w:r>
            <w:r w:rsidR="00796A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34387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6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2017, 8:00</w:t>
            </w:r>
          </w:p>
        </w:tc>
      </w:tr>
      <w:tr w:rsidR="0002476A" w:rsidRPr="00FD75FE" w:rsidTr="0095312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476A" w:rsidRPr="0065139E" w:rsidRDefault="0002476A" w:rsidP="0002476A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 o podporu</w:t>
            </w:r>
            <w:r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76A" w:rsidRPr="0002476A" w:rsidRDefault="00E43FAD" w:rsidP="0002476A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31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34387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8</w:t>
            </w:r>
            <w:r w:rsidR="0002476A" w:rsidRPr="0002476A">
              <w:rPr>
                <w:rStyle w:val="FontStyle25"/>
                <w:rFonts w:asciiTheme="minorHAnsi" w:hAnsiTheme="minorHAnsi" w:cstheme="minorHAnsi"/>
                <w:sz w:val="22"/>
                <w:szCs w:val="22"/>
              </w:rPr>
              <w:t>. 2017, 12:00</w:t>
            </w:r>
          </w:p>
          <w:p w:rsidR="0002476A" w:rsidRPr="0002476A" w:rsidRDefault="0002476A" w:rsidP="0002476A">
            <w:pPr>
              <w:pStyle w:val="Style7"/>
              <w:widowControl/>
              <w:spacing w:line="240" w:lineRule="auto"/>
              <w:rPr>
                <w:rStyle w:val="FontStyle25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Default="0002476A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>Datem zahájení realizace projektu se rozumí datum prvního právního úkonu týkajícího se aktivit projektu, na které jsou vynaloženy způsobilé výdaje.</w:t>
            </w:r>
          </w:p>
          <w:p w:rsidR="00234387" w:rsidRPr="0065139E" w:rsidRDefault="00234387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E9104D">
              <w:rPr>
                <w:rFonts w:ascii="Calibri" w:hAnsi="Calibri"/>
                <w:sz w:val="22"/>
                <w:szCs w:val="22"/>
              </w:rPr>
              <w:t xml:space="preserve">Činnosti uvedené ve sloupci „Činnosti, které není možné zahájit před podáním žádosti o podporu“ tabulky v příloze č. 6 Specifických pravidel </w:t>
            </w:r>
            <w:r>
              <w:rPr>
                <w:rFonts w:ascii="Calibri" w:hAnsi="Calibri"/>
                <w:sz w:val="22"/>
                <w:szCs w:val="22"/>
              </w:rPr>
              <w:t xml:space="preserve">pro žadatele a příjemce výzvy č. 53 IROP </w:t>
            </w:r>
            <w:r w:rsidRPr="00E9104D">
              <w:rPr>
                <w:rFonts w:ascii="Calibri" w:hAnsi="Calibri"/>
                <w:sz w:val="22"/>
                <w:szCs w:val="22"/>
              </w:rPr>
              <w:t>není možné zahájit před podáním žádosti o podporu.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F3E" w:rsidRPr="0065139E" w:rsidRDefault="0002476A" w:rsidP="00C33581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>Nejpozději 30. 9. 201</w:t>
            </w:r>
            <w:r w:rsidR="00C33581">
              <w:rPr>
                <w:rFonts w:asciiTheme="minorHAnsi" w:hAnsiTheme="minorHAnsi"/>
                <w:sz w:val="22"/>
              </w:rPr>
              <w:t>8</w:t>
            </w:r>
            <w:r w:rsidRPr="0002476A">
              <w:rPr>
                <w:rFonts w:asciiTheme="minorHAnsi" w:hAnsiTheme="minorHAnsi"/>
                <w:sz w:val="22"/>
              </w:rPr>
              <w:t>. Realizace projektu nesmí být ukončena před podáním žádosti o podporu v MS2014+.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62862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2862">
              <w:rPr>
                <w:rFonts w:asciiTheme="minorHAnsi" w:hAnsiTheme="minorHAnsi"/>
                <w:b/>
                <w:sz w:val="22"/>
              </w:rPr>
              <w:t>pro výzvu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6605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02476A">
              <w:rPr>
                <w:rFonts w:asciiTheme="minorHAnsi" w:hAnsiTheme="minorHAnsi"/>
                <w:sz w:val="22"/>
              </w:rPr>
              <w:t> 500 000 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02476A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02476A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02476A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 w:rsidRPr="0002476A">
              <w:rPr>
                <w:rFonts w:asciiTheme="minorHAnsi" w:hAnsiTheme="minorHAnsi"/>
                <w:b/>
                <w:sz w:val="22"/>
              </w:rPr>
              <w:t xml:space="preserve">Evropského fondu pro regionální rozvoj </w:t>
            </w:r>
            <w:r w:rsidR="00874ED5" w:rsidRPr="0002476A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 w:rsidRPr="0002476A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02476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62862" w:rsidRPr="0002476A">
              <w:rPr>
                <w:rFonts w:asciiTheme="minorHAnsi" w:hAnsiTheme="minorHAnsi"/>
                <w:b/>
                <w:sz w:val="22"/>
              </w:rPr>
              <w:t>pro projekt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476A" w:rsidRPr="0002476A" w:rsidRDefault="0002476A" w:rsidP="0002476A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>Evropský fond pro regionální rozvoj – 95 %</w:t>
            </w:r>
          </w:p>
          <w:p w:rsidR="00D5002E" w:rsidRPr="0065139E" w:rsidRDefault="0002476A" w:rsidP="0002476A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>Státní rozpočet – 0 %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  <w:r w:rsidR="0089302D">
              <w:rPr>
                <w:rFonts w:asciiTheme="minorHAnsi" w:hAnsiTheme="minorHAnsi"/>
                <w:b/>
                <w:sz w:val="22"/>
              </w:rPr>
              <w:t xml:space="preserve">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476A" w:rsidRPr="0002476A" w:rsidRDefault="0002476A" w:rsidP="0002476A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 xml:space="preserve">Minimální výše celkových způsobilých výdajů je </w:t>
            </w:r>
            <w:r w:rsidR="00626605">
              <w:rPr>
                <w:rFonts w:asciiTheme="minorHAnsi" w:hAnsiTheme="minorHAnsi"/>
                <w:sz w:val="22"/>
              </w:rPr>
              <w:t>5</w:t>
            </w:r>
            <w:r w:rsidRPr="0002476A">
              <w:rPr>
                <w:rFonts w:asciiTheme="minorHAnsi" w:hAnsiTheme="minorHAnsi"/>
                <w:sz w:val="22"/>
              </w:rPr>
              <w:t>00 000,- Kč</w:t>
            </w:r>
          </w:p>
          <w:p w:rsidR="000A62F5" w:rsidRDefault="0002476A" w:rsidP="0002476A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 xml:space="preserve">Maximální výše celkových způsobilých výdajů je </w:t>
            </w:r>
            <w:r w:rsidR="00626605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 xml:space="preserve"> 5</w:t>
            </w:r>
            <w:r w:rsidRPr="0002476A">
              <w:rPr>
                <w:rFonts w:asciiTheme="minorHAnsi" w:hAnsiTheme="minorHAnsi"/>
                <w:sz w:val="22"/>
              </w:rPr>
              <w:t>00 000,- Kč</w:t>
            </w:r>
          </w:p>
          <w:p w:rsidR="000A62F5" w:rsidRPr="0065139E" w:rsidRDefault="000A62F5" w:rsidP="00742E8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2474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474A" w:rsidRPr="0002476A" w:rsidRDefault="0082474A" w:rsidP="00582323">
            <w:pPr>
              <w:rPr>
                <w:rFonts w:asciiTheme="minorHAnsi" w:hAnsiTheme="minorHAnsi"/>
                <w:b/>
                <w:sz w:val="22"/>
              </w:rPr>
            </w:pPr>
            <w:r w:rsidRPr="0002476A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6605" w:rsidRPr="00626605" w:rsidRDefault="00626605" w:rsidP="00626605">
            <w:pPr>
              <w:jc w:val="both"/>
              <w:rPr>
                <w:rFonts w:asciiTheme="minorHAnsi" w:hAnsiTheme="minorHAnsi"/>
                <w:sz w:val="22"/>
              </w:rPr>
            </w:pPr>
            <w:r w:rsidRPr="00626605">
              <w:rPr>
                <w:rFonts w:asciiTheme="minorHAnsi" w:hAnsiTheme="minorHAnsi"/>
                <w:sz w:val="22"/>
              </w:rPr>
              <w:t>Terminály a parkovací systémy</w:t>
            </w:r>
          </w:p>
          <w:p w:rsidR="0082474A" w:rsidRPr="0065139E" w:rsidRDefault="00626605" w:rsidP="00626605">
            <w:pPr>
              <w:jc w:val="both"/>
              <w:rPr>
                <w:rFonts w:asciiTheme="minorHAnsi" w:hAnsiTheme="minorHAnsi"/>
                <w:sz w:val="22"/>
              </w:rPr>
            </w:pPr>
            <w:r w:rsidRPr="00626605">
              <w:rPr>
                <w:rFonts w:asciiTheme="minorHAnsi" w:hAnsiTheme="minorHAnsi"/>
                <w:sz w:val="22"/>
              </w:rPr>
              <w:t>Podpořeny budou projekty v souladu s nařízením Evropské komise č. 651/2014 ze dne 17. června 2014, kterým se v souladu s články 107 a 108 Smlouvy prohlašují určité kategorie podpory za slučitelné s vnitřním trhem. Na aktivitu se vztahuje motivační účinek.</w:t>
            </w:r>
          </w:p>
        </w:tc>
      </w:tr>
      <w:tr w:rsidR="0082474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474A" w:rsidRPr="0002476A" w:rsidRDefault="0082474A" w:rsidP="00582323">
            <w:pPr>
              <w:rPr>
                <w:rFonts w:asciiTheme="minorHAnsi" w:hAnsiTheme="minorHAnsi"/>
                <w:b/>
                <w:sz w:val="22"/>
              </w:rPr>
            </w:pPr>
            <w:r w:rsidRPr="0002476A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2474A" w:rsidRPr="0065139E" w:rsidRDefault="0002476A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02476A">
              <w:rPr>
                <w:rFonts w:asciiTheme="minorHAnsi" w:hAnsiTheme="minorHAnsi"/>
                <w:sz w:val="22"/>
              </w:rPr>
              <w:t>Dotace - ex-post financování</w:t>
            </w:r>
          </w:p>
        </w:tc>
      </w:tr>
    </w:tbl>
    <w:p w:rsidR="007E04EE" w:rsidRDefault="007E04E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C339A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Typ</w:t>
            </w:r>
            <w:r w:rsidR="00C339A3">
              <w:rPr>
                <w:rFonts w:asciiTheme="minorHAnsi" w:hAnsiTheme="minorHAnsi"/>
                <w:b/>
                <w:sz w:val="22"/>
              </w:rPr>
              <w:t>y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podporovaných </w:t>
            </w:r>
            <w:r w:rsidR="00C339A3">
              <w:rPr>
                <w:rFonts w:asciiTheme="minorHAnsi" w:hAnsiTheme="minorHAnsi"/>
                <w:b/>
                <w:sz w:val="22"/>
              </w:rPr>
              <w:t>projektů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6F3E" w:rsidRPr="0065139E" w:rsidRDefault="00626605" w:rsidP="00742E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Výstavba a modernizace přestupných terminálů a samostatných parkovacích systémů.</w:t>
            </w:r>
            <w:r w:rsidR="008706F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06FA" w:rsidRPr="0065139E" w:rsidRDefault="008706FA" w:rsidP="00626605">
            <w:pPr>
              <w:jc w:val="both"/>
              <w:rPr>
                <w:rFonts w:asciiTheme="minorHAnsi" w:hAnsiTheme="minorHAnsi"/>
                <w:sz w:val="22"/>
              </w:rPr>
            </w:pPr>
            <w:r w:rsidRPr="008706FA">
              <w:rPr>
                <w:rFonts w:asciiTheme="minorHAnsi" w:hAnsiTheme="minorHAnsi"/>
                <w:sz w:val="22"/>
              </w:rPr>
              <w:t>Území MAS vymezené ve schválené strategii CLLD MAS</w:t>
            </w:r>
            <w:r>
              <w:rPr>
                <w:rFonts w:asciiTheme="minorHAnsi" w:hAnsiTheme="minorHAnsi"/>
                <w:sz w:val="22"/>
              </w:rPr>
              <w:t xml:space="preserve"> Moravský </w:t>
            </w:r>
            <w:proofErr w:type="gramStart"/>
            <w:r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8706FA">
              <w:rPr>
                <w:rFonts w:asciiTheme="minorHAnsi" w:hAnsiTheme="minorHAnsi"/>
                <w:sz w:val="22"/>
              </w:rPr>
              <w:t xml:space="preserve"> </w:t>
            </w:r>
            <w:r w:rsidR="00234387" w:rsidRPr="00504F22">
              <w:rPr>
                <w:rFonts w:asciiTheme="minorHAnsi" w:hAnsiTheme="minorHAnsi"/>
                <w:sz w:val="22"/>
              </w:rPr>
              <w:t xml:space="preserve"> Výdaje spojené s realizací projektu za hranicí MAS jsou nezpůsobilé.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6605" w:rsidRPr="00626605" w:rsidRDefault="00626605" w:rsidP="0062660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Kraje, obce, dobrovolné svazky obcí, organizace </w:t>
            </w:r>
            <w:r w:rsidRPr="00626605">
              <w:rPr>
                <w:rFonts w:asciiTheme="minorHAnsi" w:hAnsiTheme="minorHAnsi"/>
                <w:sz w:val="22"/>
              </w:rPr>
              <w:t>zřizované nebo zakládané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>kraji, organizace zřizované nebo zakládané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Pr="00626605">
              <w:rPr>
                <w:rFonts w:asciiTheme="minorHAnsi" w:hAnsiTheme="minorHAnsi"/>
                <w:sz w:val="22"/>
              </w:rPr>
              <w:t>obcemi,  organizace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>zřizované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>nebo zakládané dobrovolnými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 xml:space="preserve">svazky </w:t>
            </w:r>
            <w:r>
              <w:rPr>
                <w:rFonts w:asciiTheme="minorHAnsi" w:hAnsiTheme="minorHAnsi"/>
                <w:sz w:val="22"/>
              </w:rPr>
              <w:t xml:space="preserve">obcí, </w:t>
            </w:r>
            <w:r w:rsidRPr="00626605">
              <w:rPr>
                <w:rFonts w:asciiTheme="minorHAnsi" w:hAnsiTheme="minorHAnsi"/>
                <w:sz w:val="22"/>
              </w:rPr>
              <w:t>dopravci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>ve veřejné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 xml:space="preserve">dopravě na základě smlouvy o </w:t>
            </w:r>
          </w:p>
          <w:p w:rsidR="00D5002E" w:rsidRPr="0065139E" w:rsidRDefault="00626605" w:rsidP="00626605">
            <w:pPr>
              <w:jc w:val="both"/>
              <w:rPr>
                <w:rFonts w:asciiTheme="minorHAnsi" w:hAnsiTheme="minorHAnsi"/>
                <w:sz w:val="22"/>
              </w:rPr>
            </w:pPr>
            <w:r w:rsidRPr="00626605">
              <w:rPr>
                <w:rFonts w:asciiTheme="minorHAnsi" w:hAnsiTheme="minorHAnsi"/>
                <w:sz w:val="22"/>
              </w:rPr>
              <w:t xml:space="preserve">veřejných </w:t>
            </w:r>
            <w:proofErr w:type="gramStart"/>
            <w:r w:rsidRPr="00626605">
              <w:rPr>
                <w:rFonts w:asciiTheme="minorHAnsi" w:hAnsiTheme="minorHAnsi"/>
                <w:sz w:val="22"/>
              </w:rPr>
              <w:t>službách</w:t>
            </w:r>
            <w:proofErr w:type="gramEnd"/>
            <w:r w:rsidRPr="00626605">
              <w:rPr>
                <w:rFonts w:asciiTheme="minorHAnsi" w:hAnsiTheme="minorHAnsi"/>
                <w:sz w:val="22"/>
              </w:rPr>
              <w:t xml:space="preserve"> v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26605">
              <w:rPr>
                <w:rFonts w:asciiTheme="minorHAnsi" w:hAnsiTheme="minorHAnsi"/>
                <w:sz w:val="22"/>
              </w:rPr>
              <w:t>přepravě cestujících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8706FA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8706FA">
              <w:rPr>
                <w:rFonts w:asciiTheme="minorHAnsi" w:hAnsiTheme="minorHAnsi"/>
                <w:sz w:val="22"/>
              </w:rPr>
              <w:t>Obyvatelé, návštěvníci, dojíždějící za prací a službami, uživatelé veřejné dopravy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2FB" w:rsidRPr="001C02FB" w:rsidRDefault="001C02FB" w:rsidP="001C02FB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02FB">
              <w:rPr>
                <w:rFonts w:asciiTheme="minorHAnsi" w:hAnsiTheme="minorHAnsi"/>
                <w:sz w:val="22"/>
                <w:szCs w:val="22"/>
              </w:rPr>
              <w:t>Terminály a parkovací systémy</w:t>
            </w:r>
          </w:p>
          <w:p w:rsidR="00691DB9" w:rsidRPr="00691DB9" w:rsidRDefault="001C02FB" w:rsidP="001C02FB">
            <w:pPr>
              <w:pStyle w:val="Odstavecseseznamem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C02FB">
              <w:rPr>
                <w:rFonts w:asciiTheme="minorHAnsi" w:hAnsiTheme="minorHAnsi"/>
                <w:sz w:val="22"/>
                <w:szCs w:val="22"/>
              </w:rPr>
              <w:t xml:space="preserve">Výstavba systémů P+R (parkoviště pro osobní vozy s možností přestupu na VHD), K+R (forma kombinované přepravy s návazností individuální automobilové dopravy na VHD), zázemí pro VHD, výstavba návazných systémů B+R (prostor pro bezpečné uschování kola s možností přestupu na VHD). V případě samostatných projektů na parkovací systémy (P+R, P+G, B+R) je nezbytné přizpůsobit velikost projektu očekávané vytíženosti a využitelnosti pro podporu </w:t>
            </w:r>
            <w:proofErr w:type="spellStart"/>
            <w:r w:rsidRPr="001C02FB">
              <w:rPr>
                <w:rFonts w:asciiTheme="minorHAnsi" w:hAnsiTheme="minorHAnsi"/>
                <w:sz w:val="22"/>
                <w:szCs w:val="22"/>
              </w:rPr>
              <w:t>multimodality</w:t>
            </w:r>
            <w:proofErr w:type="spellEnd"/>
            <w:r w:rsidRPr="001C02FB">
              <w:rPr>
                <w:rFonts w:asciiTheme="minorHAnsi" w:hAnsiTheme="minorHAnsi"/>
                <w:sz w:val="22"/>
                <w:szCs w:val="22"/>
              </w:rPr>
              <w:t xml:space="preserve"> a využití VHD.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9E40CF">
              <w:rPr>
                <w:rFonts w:asciiTheme="minorHAnsi" w:hAnsiTheme="minorHAnsi"/>
                <w:sz w:val="22"/>
                <w:szCs w:val="22"/>
              </w:rPr>
              <w:t>erminály a parkovací systémy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7 40 01 - Počet vytvořených parkovacích míst (výstup),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7 51 10 - Počet osob přepravených veřejnou dopravou (</w:t>
            </w:r>
            <w:proofErr w:type="spellStart"/>
            <w:r w:rsidRPr="009E40CF">
              <w:rPr>
                <w:rFonts w:asciiTheme="minorHAnsi" w:hAnsiTheme="minorHAnsi"/>
                <w:sz w:val="22"/>
                <w:szCs w:val="22"/>
              </w:rPr>
              <w:t>envi</w:t>
            </w:r>
            <w:proofErr w:type="spellEnd"/>
            <w:r w:rsidRPr="009E40CF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:rsidR="000F3EE2" w:rsidRPr="0065139E" w:rsidRDefault="009E40CF" w:rsidP="009E40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7 64 01 - Počet parkovacích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míst pro jízdní kola (výstup).</w:t>
            </w:r>
          </w:p>
        </w:tc>
      </w:tr>
    </w:tbl>
    <w:p w:rsidR="007E04EE" w:rsidRDefault="007E04E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7"/>
        <w:gridCol w:w="6321"/>
      </w:tblGrid>
      <w:tr w:rsidR="005C683C" w:rsidRPr="00FD75FE" w:rsidTr="008C1C5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83C" w:rsidRPr="0065139E" w:rsidRDefault="005C683C" w:rsidP="008C1C54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5C683C" w:rsidRPr="00FD75FE" w:rsidTr="008C1C5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83C" w:rsidRPr="0065139E" w:rsidRDefault="005C683C" w:rsidP="008C1C54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Plná moc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Zadávací a výběrová řízení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Doklady o právní subjektivitě žadatele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Výpis z rejstříku trestů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Studie proveditelnosti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Karta souladu projektu s principy udržitelné mobility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Čestné prohlášení o skutečném majiteli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Územní rozhodnutí nebo územní souhlas nebo veřejnoprávní smlouva nahrazující územní řízení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Žádost o stavební povolení nebo ohlášení, případně stavební povolení nebo souhlas s provedením ohlášeného stavebního záměru nebo veřejnoprávní smlouva nahrazující stavební povolení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 xml:space="preserve">Projektová dokumentace pro vydání stavebního povolení nebo </w:t>
            </w:r>
            <w:r w:rsidRPr="009E40CF">
              <w:rPr>
                <w:rFonts w:asciiTheme="minorHAnsi" w:hAnsiTheme="minorHAnsi"/>
                <w:sz w:val="22"/>
                <w:szCs w:val="22"/>
              </w:rPr>
              <w:lastRenderedPageBreak/>
              <w:t>pro ohlášení stavby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Položkový rozpočet stavby</w:t>
            </w:r>
          </w:p>
          <w:p w:rsidR="009E40CF" w:rsidRP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Doklady k výkupu nemovitostí</w:t>
            </w:r>
          </w:p>
          <w:p w:rsidR="009E40CF" w:rsidRDefault="009E40CF" w:rsidP="009E40CF">
            <w:pPr>
              <w:pStyle w:val="Odstavecseseznamem"/>
              <w:numPr>
                <w:ilvl w:val="0"/>
                <w:numId w:val="7"/>
              </w:num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Výpočet čistých jiných peněžních příjmů</w:t>
            </w:r>
          </w:p>
          <w:p w:rsidR="00BA26A5" w:rsidRPr="000D3850" w:rsidRDefault="009E40CF" w:rsidP="000536D6">
            <w:pPr>
              <w:pStyle w:val="Odstavecseseznamem"/>
              <w:spacing w:after="120" w:line="276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9E40CF">
              <w:rPr>
                <w:rFonts w:asciiTheme="minorHAnsi" w:hAnsiTheme="minorHAnsi"/>
                <w:sz w:val="22"/>
                <w:szCs w:val="22"/>
              </w:rPr>
              <w:t>Seznam povinných příloh je uveden ve specifických pravidlech pro žadatele a příjemce v kapitole 3.1.3 „Terminály a parkovací systémy“. Specifická pravidla pro žadatele a příjemce jsou umístěny zde: https://www.strukturalnifondy.cz/cs/Microsites/IROP/Vyzvy/Vyzva-c-53-Udrzitelnadoprava-integrovane-projekty-CLLD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:rsidR="005C683C" w:rsidRDefault="005C6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5C683C" w:rsidRPr="00FD75FE" w:rsidRDefault="005C683C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262862" w:rsidRPr="00262862" w:rsidTr="008C1C5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5E2029" w:rsidRDefault="00262862" w:rsidP="00052E0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5E2029">
              <w:rPr>
                <w:rFonts w:ascii="Calibri" w:hAnsi="Calibri"/>
                <w:b/>
                <w:bCs/>
              </w:rPr>
              <w:t>Způsobilé výdaje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E04">
              <w:rPr>
                <w:rFonts w:ascii="Calibri" w:hAnsi="Calibri"/>
                <w:b/>
                <w:bCs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BEE" w:rsidRPr="00742E86" w:rsidRDefault="009E40CF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Datem zahájení realizace projektu se rozumí datum prvního právního úkonu týkajícího se aktivit projektu, na které jsou vynaloženy způsobilé výdaje. Viz kapitola 10 Obecných pravidel pro žadatele a příjemce pro všechny specifické cíle a </w:t>
            </w:r>
            <w:proofErr w:type="gramStart"/>
            <w:r w:rsidRPr="009E40CF">
              <w:rPr>
                <w:rFonts w:asciiTheme="minorHAnsi" w:hAnsiTheme="minorHAnsi"/>
                <w:sz w:val="22"/>
              </w:rPr>
              <w:t>výzvy v  aktuálním</w:t>
            </w:r>
            <w:proofErr w:type="gramEnd"/>
            <w:r w:rsidRPr="009E40CF">
              <w:rPr>
                <w:rFonts w:asciiTheme="minorHAnsi" w:hAnsiTheme="minorHAnsi"/>
                <w:sz w:val="22"/>
              </w:rPr>
              <w:t xml:space="preserve"> znění (http://www.dotaceeu.cz/cs/Microsites/IROP/Vyzvy/Vyzva-c-53-Udrzitelna-doprava-integrovane-projekty-CLLD ), kapitola 3.1.5 Terminály a parkovací systémy Specifických pravidel pro žadatele a příjemce pro integrované projekty CLLD výzvy č. 53 Udržitelná doprava – integrované projekty CLLD v aktuálním znění (http://www.dotaceeu.cz/cs/Microsites/IROP/Vyzvy/Vyzva-c-53-Udrzitelna-doprava-integrovane-projekty-CLLD ).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2E04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36D6">
              <w:rPr>
                <w:rFonts w:ascii="Calibri" w:hAnsi="Calibri"/>
                <w:b/>
                <w:bCs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2BEE" w:rsidRPr="00742E86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>Pro činnosti, které není možné podle tabulky uvedené v příloze č. 6 Specifických pravidel (Motivační účinek projektů) zahájit před podáním žádosti o podporu, jsou výdaje způsobilé od data podání žádosti o podporu do 30. 9. 2019. Pro činnosti, které je možné zahájit před podáním žádosti o podporu, jsou výdaje způsobilé 1. 1. 2014 - 30. 9. 2019</w:t>
            </w:r>
          </w:p>
        </w:tc>
      </w:tr>
      <w:tr w:rsidR="00262862" w:rsidRPr="00262862" w:rsidTr="008C1C54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2862" w:rsidRPr="000536D6" w:rsidRDefault="00262862" w:rsidP="0026286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36D6">
              <w:rPr>
                <w:rFonts w:ascii="Calibri" w:hAnsi="Calibri"/>
                <w:b/>
                <w:bCs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862" w:rsidRPr="000536D6" w:rsidRDefault="00262862" w:rsidP="00742E86">
            <w:pPr>
              <w:jc w:val="both"/>
              <w:rPr>
                <w:rFonts w:asciiTheme="minorHAnsi" w:hAnsiTheme="minorHAnsi"/>
                <w:sz w:val="22"/>
              </w:rPr>
            </w:pPr>
            <w:r w:rsidRPr="000536D6">
              <w:rPr>
                <w:rFonts w:asciiTheme="minorHAnsi" w:hAnsiTheme="minorHAnsi"/>
                <w:sz w:val="22"/>
              </w:rPr>
              <w:t>Křížové financování není možné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00"/>
        <w:gridCol w:w="6288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42E8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536D6" w:rsidRPr="000536D6" w:rsidRDefault="000536D6" w:rsidP="000536D6">
            <w:pPr>
              <w:jc w:val="both"/>
              <w:rPr>
                <w:rFonts w:asciiTheme="minorHAnsi" w:hAnsiTheme="minorHAnsi"/>
                <w:sz w:val="22"/>
              </w:rPr>
            </w:pPr>
            <w:r w:rsidRPr="000536D6">
              <w:rPr>
                <w:rFonts w:asciiTheme="minorHAnsi" w:hAnsiTheme="minorHAnsi"/>
                <w:sz w:val="22"/>
              </w:rPr>
              <w:t xml:space="preserve">MAS Moravský </w:t>
            </w:r>
            <w:proofErr w:type="gramStart"/>
            <w:r w:rsidRPr="000536D6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0536D6">
              <w:rPr>
                <w:rFonts w:asciiTheme="minorHAnsi" w:hAnsiTheme="minorHAnsi"/>
                <w:sz w:val="22"/>
              </w:rPr>
              <w:t xml:space="preserve"> má možnost provádět změny ve výzvě. Tato změna musí být dopředu schválena ŘO. O změně pravidel výzvy jsou žadatelé a příjemci informováni prostřednictvím MS2014+.</w:t>
            </w:r>
          </w:p>
          <w:p w:rsidR="000536D6" w:rsidRPr="000536D6" w:rsidRDefault="000536D6" w:rsidP="000536D6">
            <w:pPr>
              <w:jc w:val="both"/>
              <w:rPr>
                <w:rFonts w:asciiTheme="minorHAnsi" w:hAnsiTheme="minorHAnsi"/>
                <w:sz w:val="22"/>
              </w:rPr>
            </w:pPr>
            <w:r w:rsidRPr="000536D6">
              <w:rPr>
                <w:rFonts w:asciiTheme="minorHAnsi" w:hAnsiTheme="minorHAnsi"/>
                <w:sz w:val="22"/>
              </w:rPr>
              <w:t xml:space="preserve">Změna je zároveň zveřejněna na webových </w:t>
            </w:r>
            <w:proofErr w:type="gramStart"/>
            <w:r w:rsidRPr="000536D6">
              <w:rPr>
                <w:rFonts w:asciiTheme="minorHAnsi" w:hAnsiTheme="minorHAnsi"/>
                <w:sz w:val="22"/>
              </w:rPr>
              <w:t>stránkách:  http</w:t>
            </w:r>
            <w:proofErr w:type="gramEnd"/>
            <w:r w:rsidRPr="000536D6">
              <w:rPr>
                <w:rFonts w:asciiTheme="minorHAnsi" w:hAnsiTheme="minorHAnsi"/>
                <w:sz w:val="22"/>
              </w:rPr>
              <w:t xml:space="preserve">://www.mas-moravsky-kras.cz/strategie-clld/vyzvy-pr-irop/.   </w:t>
            </w:r>
            <w:r w:rsidRPr="000536D6">
              <w:rPr>
                <w:rFonts w:asciiTheme="minorHAnsi" w:hAnsiTheme="minorHAnsi"/>
                <w:sz w:val="22"/>
              </w:rPr>
              <w:lastRenderedPageBreak/>
              <w:t xml:space="preserve">Podmínky pro případnou změnu výzvy jsou uvedeny v kapitole 2.2 Obecných pravidel a dále v Interních </w:t>
            </w:r>
            <w:proofErr w:type="gramStart"/>
            <w:r w:rsidRPr="000536D6">
              <w:rPr>
                <w:rFonts w:asciiTheme="minorHAnsi" w:hAnsiTheme="minorHAnsi"/>
                <w:sz w:val="22"/>
              </w:rPr>
              <w:t>postupech  MAS</w:t>
            </w:r>
            <w:proofErr w:type="gramEnd"/>
            <w:r w:rsidRPr="000536D6">
              <w:rPr>
                <w:rFonts w:asciiTheme="minorHAnsi" w:hAnsiTheme="minorHAnsi"/>
                <w:sz w:val="22"/>
              </w:rPr>
              <w:t xml:space="preserve"> Moravský kras z.s. pro PR IROP, kapitola 3. Interní postupy jsou zveřejněny </w:t>
            </w:r>
            <w:proofErr w:type="gramStart"/>
            <w:r w:rsidRPr="000536D6">
              <w:rPr>
                <w:rFonts w:asciiTheme="minorHAnsi" w:hAnsiTheme="minorHAnsi"/>
                <w:sz w:val="22"/>
              </w:rPr>
              <w:t>na</w:t>
            </w:r>
            <w:proofErr w:type="gramEnd"/>
            <w:r w:rsidRPr="000536D6">
              <w:rPr>
                <w:rFonts w:asciiTheme="minorHAnsi" w:hAnsiTheme="minorHAnsi"/>
                <w:sz w:val="22"/>
              </w:rPr>
              <w:t>:  http://www.mas-moravsky-kras.cz/strategie-clld/vyzvy-pr-irop/.  Změny ve výzvě se nevztahují na žádosti o podporu, které již žadatelé podali.</w:t>
            </w:r>
          </w:p>
          <w:p w:rsidR="000536D6" w:rsidRPr="000536D6" w:rsidRDefault="000536D6" w:rsidP="000536D6">
            <w:pPr>
              <w:jc w:val="both"/>
              <w:rPr>
                <w:rFonts w:asciiTheme="minorHAnsi" w:hAnsiTheme="minorHAnsi"/>
                <w:sz w:val="22"/>
              </w:rPr>
            </w:pPr>
            <w:r w:rsidRPr="000536D6">
              <w:rPr>
                <w:rFonts w:asciiTheme="minorHAnsi" w:hAnsiTheme="minorHAnsi"/>
                <w:sz w:val="22"/>
              </w:rPr>
              <w:t>V kolové výzvě jsou změny možné pouze na základě změn</w:t>
            </w:r>
          </w:p>
          <w:p w:rsidR="00020822" w:rsidRPr="000536D6" w:rsidRDefault="000536D6" w:rsidP="000536D6">
            <w:pPr>
              <w:jc w:val="both"/>
              <w:rPr>
                <w:rFonts w:asciiTheme="minorHAnsi" w:hAnsiTheme="minorHAnsi"/>
                <w:sz w:val="22"/>
              </w:rPr>
            </w:pPr>
            <w:r w:rsidRPr="000536D6">
              <w:rPr>
                <w:rFonts w:asciiTheme="minorHAnsi" w:hAnsiTheme="minorHAnsi"/>
                <w:sz w:val="22"/>
              </w:rPr>
              <w:t>metodiky nebo legislativy.</w:t>
            </w:r>
          </w:p>
        </w:tc>
      </w:tr>
      <w:tr w:rsidR="006E7421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E7421" w:rsidRPr="000536D6" w:rsidRDefault="006E7421" w:rsidP="00582323">
            <w:pPr>
              <w:rPr>
                <w:rFonts w:asciiTheme="minorHAnsi" w:hAnsiTheme="minorHAnsi"/>
                <w:b/>
                <w:sz w:val="22"/>
              </w:rPr>
            </w:pPr>
            <w:r w:rsidRPr="000536D6">
              <w:rPr>
                <w:rFonts w:asciiTheme="minorHAnsi" w:hAnsiTheme="minorHAnsi"/>
                <w:b/>
                <w:sz w:val="22"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34387" w:rsidRPr="00D43FFC" w:rsidRDefault="00234387" w:rsidP="002343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FFC">
              <w:rPr>
                <w:rFonts w:asciiTheme="minorHAnsi" w:hAnsiTheme="minorHAnsi"/>
                <w:sz w:val="22"/>
                <w:szCs w:val="22"/>
              </w:rPr>
              <w:t>Aktivit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43F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3F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Terminály a parkovací systémy  </w:t>
            </w:r>
          </w:p>
          <w:p w:rsidR="00234387" w:rsidRPr="00D43FFC" w:rsidRDefault="00234387" w:rsidP="002343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3FFC">
              <w:rPr>
                <w:rFonts w:asciiTheme="minorHAnsi" w:hAnsiTheme="minorHAnsi"/>
                <w:sz w:val="22"/>
                <w:szCs w:val="22"/>
              </w:rPr>
              <w:t xml:space="preserve">Projekty, které mohou být podpořeny v této aktivitě, podléhají pravidlům veřejné podpory a jsou vyloučeny z aplikace ustanovení čl. 61 a čl. 65 Obecného nařízení. Jedná se o slučitelnou veřejnou podporu, u které musí být provedeno individuální ověření potřeb financování v modulu CBA veřejná podpora v MS2014+.  </w:t>
            </w:r>
          </w:p>
          <w:p w:rsidR="006E7421" w:rsidRPr="000536D6" w:rsidRDefault="009E40CF" w:rsidP="009E40CF">
            <w:pPr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Pokyny pro vyplnění modulu CBA žadatel najde ve Specifických pravidlech pro žadatele a příjemce pro výzvu ŘO IROP v kapitole </w:t>
            </w:r>
            <w:proofErr w:type="gramStart"/>
            <w:r w:rsidRPr="009E40CF">
              <w:rPr>
                <w:rFonts w:asciiTheme="minorHAnsi" w:hAnsiTheme="minorHAnsi"/>
                <w:sz w:val="22"/>
              </w:rPr>
              <w:t>3.1.10</w:t>
            </w:r>
            <w:proofErr w:type="gramEnd"/>
            <w:r w:rsidRPr="009E40CF">
              <w:rPr>
                <w:rFonts w:asciiTheme="minorHAnsi" w:hAnsiTheme="minorHAnsi"/>
                <w:sz w:val="22"/>
              </w:rPr>
              <w:t xml:space="preserve"> aktivita Terminály a parkovací systémy a v Obecných pravidlech pro žadatele a příjemce v kapitole 2.6.2. a v příloze č. 17 Obecných pravidel pro žadatele a příjemce, kde je uveden popis práce s modulem CBA. Obecná a Specifická pravidla pro žadatele a příjemce pro výzvu ŘO IROP jsou uvedena zde: https://www.strukturalnifondy.cz/cs/Microsites/IROP/Vyzvy/Vyzva-c-53-Udrzitelnadoprava-integrovane-projekty-CLLD.</w:t>
            </w:r>
          </w:p>
        </w:tc>
      </w:tr>
      <w:tr w:rsidR="0073114F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4F" w:rsidRPr="0073114F" w:rsidRDefault="0073114F" w:rsidP="0073114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Způsob hodnocení</w:t>
            </w:r>
            <w:r w:rsidRPr="0073114F">
              <w:rPr>
                <w:rFonts w:asciiTheme="minorHAnsi" w:hAnsiTheme="minorHAnsi"/>
                <w:b/>
                <w:sz w:val="22"/>
              </w:rPr>
              <w:t xml:space="preserve"> projektů</w:t>
            </w:r>
          </w:p>
          <w:p w:rsidR="0073114F" w:rsidRPr="0065139E" w:rsidRDefault="0073114F" w:rsidP="007A61B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Žádosti o podporu podané v této výzvě projdou ze strany MAS Moravský </w:t>
            </w:r>
            <w:proofErr w:type="gramStart"/>
            <w:r w:rsidRPr="009E40CF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9E40CF">
              <w:rPr>
                <w:rFonts w:asciiTheme="minorHAnsi" w:hAnsiTheme="minorHAnsi"/>
                <w:sz w:val="22"/>
              </w:rPr>
              <w:t>: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1. Hodnocením formálních náležitostí a podmínek přijatelnosti: pro kladné hodnocení je nutnost splnit veškerá stanovená kritéria (viz Příloha 1 Kritéria pro hodnocení projektů - části kritéria formálních </w:t>
            </w:r>
            <w:proofErr w:type="spellStart"/>
            <w:proofErr w:type="gramStart"/>
            <w:r w:rsidRPr="009E40CF">
              <w:rPr>
                <w:rFonts w:asciiTheme="minorHAnsi" w:hAnsiTheme="minorHAnsi"/>
                <w:sz w:val="22"/>
              </w:rPr>
              <w:t>náležitostí,obecná</w:t>
            </w:r>
            <w:proofErr w:type="spellEnd"/>
            <w:proofErr w:type="gramEnd"/>
            <w:r w:rsidRPr="009E40CF">
              <w:rPr>
                <w:rFonts w:asciiTheme="minorHAnsi" w:hAnsiTheme="minorHAnsi"/>
                <w:sz w:val="22"/>
              </w:rPr>
              <w:t xml:space="preserve"> kritéria přijatelnosti, specifická kritéria přijatelnosti);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>2. Věcným hodnocením: pro kladné hodnocení je nutnost získat min. 50 bodů z celkových 100 bodů ze všech kritérií (viz Příloha 1 Kritéria pro hodnocení projektů - část kritéria věcného hodnocení);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>3. Výběrem projektů: v případě vyšší alokace projektů, které splnily podmínky obou výše zmíněných hodnocení, než je celková alokace výzvy, jsou takové projekty zařazeny na seznam tzv. náhradních projektů.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>Závěrečné ověřené způsobilosti projektů provádí CRR.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Žadatel má možnost podat žádost o přezkum hodnocení. Postup je uveden v Interních postupech MAS Moravský </w:t>
            </w:r>
            <w:proofErr w:type="gramStart"/>
            <w:r w:rsidRPr="009E40CF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9E40CF">
              <w:rPr>
                <w:rFonts w:asciiTheme="minorHAnsi" w:hAnsiTheme="minorHAnsi"/>
                <w:sz w:val="22"/>
              </w:rPr>
              <w:t>, kapitola č. 6 „Přezkum hodnocení projektů“.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Bližší informace o způsobu hodnocení projektů jsou uvedeny v kapitole 4. Interních postupů MAS Moravský </w:t>
            </w:r>
            <w:proofErr w:type="gramStart"/>
            <w:r w:rsidRPr="009E40CF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9E40CF">
              <w:rPr>
                <w:rFonts w:asciiTheme="minorHAnsi" w:hAnsiTheme="minorHAnsi"/>
                <w:sz w:val="22"/>
              </w:rPr>
              <w:t xml:space="preserve"> </w:t>
            </w:r>
          </w:p>
          <w:p w:rsidR="009E40CF" w:rsidRPr="009E40CF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B2BEE" w:rsidRPr="00052E04" w:rsidRDefault="009E40C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9E40CF">
              <w:rPr>
                <w:rFonts w:asciiTheme="minorHAnsi" w:hAnsiTheme="minorHAnsi"/>
                <w:sz w:val="22"/>
              </w:rPr>
              <w:t xml:space="preserve">Interní postupy MAS Moravský </w:t>
            </w:r>
            <w:proofErr w:type="gramStart"/>
            <w:r w:rsidRPr="009E40CF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9E40CF">
              <w:rPr>
                <w:rFonts w:asciiTheme="minorHAnsi" w:hAnsiTheme="minorHAnsi"/>
                <w:sz w:val="22"/>
              </w:rPr>
              <w:t xml:space="preserve"> jsou dostupné zde: http://www.mas-moravsky-kras.cz/strategie-clld/vyzvy-pr-irop/.</w:t>
            </w:r>
          </w:p>
        </w:tc>
      </w:tr>
      <w:tr w:rsidR="0073114F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114F" w:rsidRPr="0065139E" w:rsidRDefault="0073114F" w:rsidP="007A61BC">
            <w:pPr>
              <w:rPr>
                <w:rFonts w:asciiTheme="minorHAnsi" w:hAnsiTheme="minorHAnsi"/>
                <w:b/>
                <w:sz w:val="22"/>
              </w:rPr>
            </w:pPr>
            <w:r w:rsidRPr="0073114F">
              <w:rPr>
                <w:rFonts w:asciiTheme="minorHAnsi" w:hAnsiTheme="minorHAnsi"/>
                <w:b/>
                <w:sz w:val="22"/>
              </w:rPr>
              <w:lastRenderedPageBreak/>
              <w:t>Kritéria pro výběr projektů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114F" w:rsidRPr="00742E86" w:rsidRDefault="005F7A4F" w:rsidP="009E40CF">
            <w:pPr>
              <w:jc w:val="both"/>
              <w:rPr>
                <w:rFonts w:asciiTheme="minorHAnsi" w:hAnsiTheme="minorHAnsi"/>
                <w:sz w:val="22"/>
              </w:rPr>
            </w:pPr>
            <w:r w:rsidRPr="005F7A4F">
              <w:rPr>
                <w:rFonts w:asciiTheme="minorHAnsi" w:hAnsiTheme="minorHAnsi"/>
                <w:sz w:val="22"/>
              </w:rPr>
              <w:t>Kritéria pro výběr projektů jsou uvedena v příloze 1 této výzvy.</w:t>
            </w:r>
          </w:p>
        </w:tc>
      </w:tr>
      <w:tr w:rsidR="0089008D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008D" w:rsidRPr="0073114F" w:rsidRDefault="0089008D" w:rsidP="007A61B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Další specifika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 seznam náhradních projektů budou zařazeny projekty, které splnily podmínky hodnocení projektů, ale není možné je financovat, protože je vyčerpaná alokace výzvy. Pokud získá MAS</w:t>
            </w:r>
            <w:r w:rsidR="00FA072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M</w:t>
            </w:r>
            <w:r w:rsidR="00FA0727">
              <w:rPr>
                <w:rFonts w:asciiTheme="minorHAnsi" w:hAnsiTheme="minorHAnsi"/>
                <w:sz w:val="22"/>
              </w:rPr>
              <w:t xml:space="preserve">oravský </w:t>
            </w:r>
            <w:proofErr w:type="gramStart"/>
            <w:r w:rsidR="00FA0727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="00FA072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volné finanční prostředky, nabídne je prvnímu náhradnímu projektu, když přesáhnou 30 % jeho dotace z EFRR. 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 případě, že žadatel souhlasí s nabídnutou částkou, předloží žádost o změnu v</w:t>
            </w:r>
            <w:r w:rsidR="00FA0727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projektu</w:t>
            </w:r>
            <w:r w:rsidR="00FA0727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="00FA0727">
              <w:rPr>
                <w:rFonts w:asciiTheme="minorHAnsi" w:hAnsiTheme="minorHAnsi"/>
                <w:sz w:val="22"/>
              </w:rPr>
              <w:t>ŽoZ</w:t>
            </w:r>
            <w:proofErr w:type="spellEnd"/>
            <w:r w:rsidR="00FA0727">
              <w:rPr>
                <w:rFonts w:asciiTheme="minorHAnsi" w:hAnsiTheme="minorHAnsi"/>
                <w:sz w:val="22"/>
              </w:rPr>
              <w:t>)</w:t>
            </w:r>
            <w:r>
              <w:rPr>
                <w:rFonts w:asciiTheme="minorHAnsi" w:hAnsiTheme="minorHAnsi"/>
                <w:sz w:val="22"/>
              </w:rPr>
              <w:t>, ve které aktualizuje údaje v žádosti. V případě, že žadatel nesouhlasí s nabídnutou částkou a má zájem projekt realizovat, MAS</w:t>
            </w:r>
            <w:r w:rsidR="00FA072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M</w:t>
            </w:r>
            <w:r w:rsidR="00FA0727">
              <w:rPr>
                <w:rFonts w:asciiTheme="minorHAnsi" w:hAnsiTheme="minorHAnsi"/>
                <w:sz w:val="22"/>
              </w:rPr>
              <w:t xml:space="preserve">oravský </w:t>
            </w:r>
            <w:proofErr w:type="gramStart"/>
            <w:r w:rsidR="00FA0727">
              <w:rPr>
                <w:rFonts w:asciiTheme="minorHAnsi" w:hAnsiTheme="minorHAnsi"/>
                <w:sz w:val="22"/>
              </w:rPr>
              <w:t>kras z.s.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mu po získání dalších prostředků nabídne vyšší částku. 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Tak se postupuje do doby, kdy: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a) nabízená částka odpovídá částce schváleného projektu,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b) žadatel souhlasí s nabízenou částkou, předloží </w:t>
            </w:r>
            <w:proofErr w:type="spellStart"/>
            <w:r>
              <w:rPr>
                <w:rFonts w:asciiTheme="minorHAnsi" w:hAnsiTheme="minorHAnsi"/>
                <w:sz w:val="22"/>
              </w:rPr>
              <w:t>ŽoZ</w:t>
            </w:r>
            <w:proofErr w:type="spellEnd"/>
            <w:r>
              <w:rPr>
                <w:rFonts w:asciiTheme="minorHAnsi" w:hAnsiTheme="minorHAnsi"/>
                <w:sz w:val="22"/>
              </w:rPr>
              <w:t>, ve které aktualizuje údaje v žádosti, a je mu vydán právní akt.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Pokud žadatel s nabídnutou částkou nesouhlasí a nemá zájem projekt realizovat, volné prostředky se nabídnou dalšímu žadateli na seznamu náhradních projektů.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Seznam náhradních projektů zruší Programový výbor MAS</w:t>
            </w:r>
            <w:r w:rsidR="00FA0727">
              <w:rPr>
                <w:rFonts w:asciiTheme="minorHAnsi" w:hAnsiTheme="minorHAnsi"/>
                <w:sz w:val="22"/>
              </w:rPr>
              <w:t xml:space="preserve"> Moravský </w:t>
            </w:r>
            <w:proofErr w:type="gramStart"/>
            <w:r w:rsidR="00FA0727">
              <w:rPr>
                <w:rFonts w:asciiTheme="minorHAnsi" w:hAnsiTheme="minorHAnsi"/>
                <w:sz w:val="22"/>
              </w:rPr>
              <w:t>kras z.s.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v následujících případech:</w:t>
            </w:r>
          </w:p>
          <w:p w:rsidR="00632522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a) všechny žádosti na seznamu náhradních projektů dostaly podporu nebo nemají zájem o nabízenou částku,</w:t>
            </w:r>
          </w:p>
          <w:p w:rsidR="0089008D" w:rsidRDefault="00632522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b) nejpozději 31. 6. 2023.</w:t>
            </w:r>
          </w:p>
          <w:p w:rsidR="00FA0727" w:rsidRPr="0089008D" w:rsidRDefault="00FA0727" w:rsidP="006325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 případě, že souhrnná alokace projektů, které splnily podmínky hodnocení, přesahuje celkovou alokaci výzvy, bude vypracován seznam náhradních projektů. Do seznamu budou zařazeny projekty, které splnily podmínky věcného hodnocení projektů a byly doporučeny k financování, ale není možné je financovat z důvodů vyčerpání alokace na výzvu MAS Moravský </w:t>
            </w:r>
            <w:proofErr w:type="gramStart"/>
            <w:r>
              <w:rPr>
                <w:rFonts w:asciiTheme="minorHAnsi" w:hAnsiTheme="minorHAnsi"/>
                <w:sz w:val="22"/>
              </w:rPr>
              <w:t>kras z.s.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64045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0450" w:rsidRPr="00052E04" w:rsidRDefault="00640450" w:rsidP="0073114F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5F7A4F">
              <w:rPr>
                <w:rFonts w:asciiTheme="minorHAnsi" w:hAnsiTheme="minorHAnsi"/>
                <w:b/>
                <w:sz w:val="22"/>
              </w:rPr>
              <w:t>Forma a způsob podání žádosti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0450" w:rsidRPr="00742E86" w:rsidRDefault="005F7A4F" w:rsidP="00582323">
            <w:pPr>
              <w:rPr>
                <w:rFonts w:asciiTheme="minorHAnsi" w:hAnsiTheme="minorHAnsi"/>
                <w:sz w:val="22"/>
              </w:rPr>
            </w:pPr>
            <w:r w:rsidRPr="005F7A4F">
              <w:rPr>
                <w:rFonts w:asciiTheme="minorHAnsi" w:hAnsiTheme="minorHAnsi"/>
                <w:sz w:val="22"/>
              </w:rPr>
              <w:t>Elektronické podání prostřednictvím MS2014+ na adrese https://mseu.mssf.cz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5F7A4F" w:rsidRDefault="00D5002E" w:rsidP="0073114F">
            <w:pPr>
              <w:rPr>
                <w:rFonts w:asciiTheme="minorHAnsi" w:hAnsiTheme="minorHAnsi"/>
                <w:b/>
                <w:sz w:val="22"/>
              </w:rPr>
            </w:pPr>
            <w:r w:rsidRPr="005F7A4F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 w:rsidRPr="005F7A4F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5F7A4F">
              <w:rPr>
                <w:rFonts w:asciiTheme="minorHAnsi" w:hAnsiTheme="minorHAnsi"/>
                <w:b/>
                <w:sz w:val="22"/>
              </w:rPr>
              <w:t xml:space="preserve">ravidla </w:t>
            </w:r>
            <w:r w:rsidR="006E7421" w:rsidRPr="005F7A4F">
              <w:rPr>
                <w:rFonts w:asciiTheme="minorHAnsi" w:hAnsiTheme="minorHAnsi"/>
                <w:b/>
                <w:sz w:val="22"/>
              </w:rPr>
              <w:t>výzvy ŘO IROP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5F7A4F" w:rsidRDefault="005F7A4F" w:rsidP="00582323">
            <w:pPr>
              <w:rPr>
                <w:rFonts w:asciiTheme="minorHAnsi" w:hAnsiTheme="minorHAnsi"/>
                <w:sz w:val="22"/>
              </w:rPr>
            </w:pPr>
            <w:r w:rsidRPr="005F7A4F">
              <w:rPr>
                <w:rFonts w:asciiTheme="minorHAnsi" w:hAnsiTheme="minorHAnsi"/>
                <w:sz w:val="22"/>
              </w:rPr>
              <w:t>http://www.dotaceEu.cz/cs/Microsites/IROP/Vyzvy-v-IROP</w:t>
            </w:r>
          </w:p>
        </w:tc>
      </w:tr>
      <w:tr w:rsidR="00052A20" w:rsidRPr="005F7A4F" w:rsidTr="00DD0069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7A4F" w:rsidRPr="005F7A4F" w:rsidRDefault="005F7A4F" w:rsidP="005F7A4F">
            <w:pPr>
              <w:jc w:val="both"/>
              <w:rPr>
                <w:rFonts w:asciiTheme="minorHAnsi" w:hAnsiTheme="minorHAnsi"/>
                <w:sz w:val="22"/>
              </w:rPr>
            </w:pPr>
            <w:r w:rsidRPr="005F7A4F">
              <w:rPr>
                <w:rFonts w:asciiTheme="minorHAnsi" w:hAnsiTheme="minorHAnsi"/>
                <w:sz w:val="22"/>
              </w:rPr>
              <w:t xml:space="preserve">Kontaktní údaje na pracovníky MAS Moravský </w:t>
            </w:r>
            <w:proofErr w:type="gramStart"/>
            <w:r w:rsidRPr="005F7A4F">
              <w:rPr>
                <w:rFonts w:asciiTheme="minorHAnsi" w:hAnsiTheme="minorHAnsi"/>
                <w:sz w:val="22"/>
              </w:rPr>
              <w:t>kras z.s.</w:t>
            </w:r>
            <w:proofErr w:type="gramEnd"/>
            <w:r w:rsidRPr="005F7A4F">
              <w:rPr>
                <w:rFonts w:asciiTheme="minorHAnsi" w:hAnsiTheme="minorHAnsi"/>
                <w:sz w:val="22"/>
              </w:rPr>
              <w:t>:</w:t>
            </w:r>
          </w:p>
          <w:p w:rsidR="005F7A4F" w:rsidRPr="005F7A4F" w:rsidRDefault="005F7A4F" w:rsidP="005F7A4F">
            <w:pPr>
              <w:jc w:val="both"/>
              <w:rPr>
                <w:rFonts w:asciiTheme="minorHAnsi" w:hAnsiTheme="minorHAnsi"/>
                <w:sz w:val="22"/>
              </w:rPr>
            </w:pPr>
            <w:r w:rsidRPr="005F7A4F">
              <w:rPr>
                <w:rFonts w:asciiTheme="minorHAnsi" w:hAnsiTheme="minorHAnsi"/>
                <w:sz w:val="22"/>
              </w:rPr>
              <w:t>Ing. Jozef Jančo, e-mail: masmk@seznam.cz, tel. 739 042 933</w:t>
            </w:r>
          </w:p>
          <w:p w:rsidR="00052A20" w:rsidRPr="005F7A4F" w:rsidRDefault="005F7A4F" w:rsidP="005F7A4F">
            <w:pPr>
              <w:jc w:val="both"/>
              <w:rPr>
                <w:rFonts w:asciiTheme="minorHAnsi" w:hAnsiTheme="minorHAnsi"/>
                <w:b/>
                <w:i/>
                <w:sz w:val="22"/>
              </w:rPr>
            </w:pPr>
            <w:r w:rsidRPr="005F7A4F">
              <w:rPr>
                <w:rFonts w:asciiTheme="minorHAnsi" w:hAnsiTheme="minorHAnsi"/>
                <w:sz w:val="22"/>
              </w:rPr>
              <w:t xml:space="preserve">Ing. Petr </w:t>
            </w:r>
            <w:proofErr w:type="spellStart"/>
            <w:r w:rsidRPr="005F7A4F">
              <w:rPr>
                <w:rFonts w:asciiTheme="minorHAnsi" w:hAnsiTheme="minorHAnsi"/>
                <w:sz w:val="22"/>
              </w:rPr>
              <w:t>Revenda</w:t>
            </w:r>
            <w:proofErr w:type="spellEnd"/>
            <w:r w:rsidRPr="005F7A4F">
              <w:rPr>
                <w:rFonts w:asciiTheme="minorHAnsi" w:hAnsiTheme="minorHAnsi"/>
                <w:sz w:val="22"/>
              </w:rPr>
              <w:t>,  e-mail: masmk@seznam.cz, tel. 603 268 562</w:t>
            </w:r>
            <w:r w:rsidR="00F228E1" w:rsidRPr="005F7A4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6491C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491C" w:rsidRPr="0065139E" w:rsidRDefault="0056491C" w:rsidP="0058232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Seznam příloh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91C" w:rsidRDefault="005F7A4F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  <w:r w:rsidRPr="005F7A4F">
              <w:rPr>
                <w:rFonts w:asciiTheme="minorHAnsi" w:hAnsiTheme="minorHAnsi"/>
                <w:sz w:val="22"/>
              </w:rPr>
              <w:t>Kritéria pro hodnocení formálních náležitostí a přijatelnosti a kritéria pro věcné hodnocení projektů.</w:t>
            </w:r>
          </w:p>
          <w:p w:rsidR="005F7A4F" w:rsidRPr="005F7A4F" w:rsidRDefault="005F7A4F" w:rsidP="005F7A4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Kontrolní list </w:t>
            </w:r>
            <w:r w:rsidRPr="005F7A4F">
              <w:rPr>
                <w:rFonts w:asciiTheme="minorHAnsi" w:hAnsiTheme="minorHAnsi"/>
                <w:sz w:val="22"/>
              </w:rPr>
              <w:t xml:space="preserve">pro hodnocení formálních náležitostí a </w:t>
            </w:r>
            <w:proofErr w:type="gramStart"/>
            <w:r w:rsidRPr="005F7A4F">
              <w:rPr>
                <w:rFonts w:asciiTheme="minorHAnsi" w:hAnsiTheme="minorHAnsi"/>
                <w:sz w:val="22"/>
              </w:rPr>
              <w:t>přijatelnosti</w:t>
            </w:r>
            <w:r>
              <w:rPr>
                <w:rFonts w:asciiTheme="minorHAnsi" w:hAnsiTheme="minorHAnsi"/>
                <w:sz w:val="22"/>
              </w:rPr>
              <w:t xml:space="preserve"> a  </w:t>
            </w:r>
            <w:r w:rsidRPr="005F7A4F">
              <w:rPr>
                <w:rFonts w:asciiTheme="minorHAnsi" w:hAnsiTheme="minorHAnsi"/>
                <w:sz w:val="22"/>
              </w:rPr>
              <w:t>pro</w:t>
            </w:r>
            <w:proofErr w:type="gramEnd"/>
            <w:r w:rsidRPr="005F7A4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věcné hodnocení projektů. </w:t>
            </w: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0268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5B" w:rsidRDefault="00032A5B" w:rsidP="005F14C0">
      <w:r>
        <w:separator/>
      </w:r>
    </w:p>
  </w:endnote>
  <w:endnote w:type="continuationSeparator" w:id="0">
    <w:p w:rsidR="00032A5B" w:rsidRDefault="00032A5B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676987"/>
      <w:docPartObj>
        <w:docPartGallery w:val="Page Numbers (Bottom of Page)"/>
        <w:docPartUnique/>
      </w:docPartObj>
    </w:sdtPr>
    <w:sdtEndPr>
      <w:rPr>
        <w:i/>
      </w:rPr>
    </w:sdtEndPr>
    <w:sdtContent>
      <w:p w:rsidR="00026852" w:rsidRPr="00026852" w:rsidRDefault="00026852">
        <w:pPr>
          <w:pStyle w:val="Zpat"/>
          <w:jc w:val="right"/>
          <w:rPr>
            <w:i/>
          </w:rPr>
        </w:pPr>
        <w:r w:rsidRPr="00026852">
          <w:rPr>
            <w:i/>
          </w:rPr>
          <w:fldChar w:fldCharType="begin"/>
        </w:r>
        <w:r w:rsidRPr="00026852">
          <w:rPr>
            <w:i/>
          </w:rPr>
          <w:instrText>PAGE   \* MERGEFORMAT</w:instrText>
        </w:r>
        <w:r w:rsidRPr="00026852">
          <w:rPr>
            <w:i/>
          </w:rPr>
          <w:fldChar w:fldCharType="separate"/>
        </w:r>
        <w:r w:rsidR="00F30014">
          <w:rPr>
            <w:i/>
            <w:noProof/>
          </w:rPr>
          <w:t>2</w:t>
        </w:r>
        <w:r w:rsidRPr="00026852">
          <w:rPr>
            <w:i/>
          </w:rPr>
          <w:fldChar w:fldCharType="end"/>
        </w:r>
      </w:p>
    </w:sdtContent>
  </w:sdt>
  <w:p w:rsidR="00026852" w:rsidRDefault="000268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87698"/>
      <w:docPartObj>
        <w:docPartGallery w:val="Page Numbers (Bottom of Page)"/>
        <w:docPartUnique/>
      </w:docPartObj>
    </w:sdtPr>
    <w:sdtEndPr/>
    <w:sdtContent>
      <w:p w:rsidR="00026852" w:rsidRDefault="000268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5B" w:rsidRDefault="00032A5B" w:rsidP="005F14C0">
      <w:r>
        <w:separator/>
      </w:r>
    </w:p>
  </w:footnote>
  <w:footnote w:type="continuationSeparator" w:id="0">
    <w:p w:rsidR="00032A5B" w:rsidRDefault="00032A5B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FC" w:rsidRDefault="00026852" w:rsidP="00026852">
    <w:pPr>
      <w:pStyle w:val="Zhlav"/>
    </w:pPr>
    <w:r>
      <w:rPr>
        <w:noProof/>
        <w:lang w:eastAsia="cs-CZ"/>
      </w:rPr>
      <w:drawing>
        <wp:anchor distT="0" distB="0" distL="114935" distR="114935" simplePos="0" relativeHeight="251671552" behindDoc="0" locked="0" layoutInCell="1" allowOverlap="1" wp14:anchorId="728DF552" wp14:editId="4B092D2B">
          <wp:simplePos x="0" y="0"/>
          <wp:positionH relativeFrom="column">
            <wp:posOffset>4687032</wp:posOffset>
          </wp:positionH>
          <wp:positionV relativeFrom="paragraph">
            <wp:posOffset>1828</wp:posOffset>
          </wp:positionV>
          <wp:extent cx="944545" cy="570628"/>
          <wp:effectExtent l="0" t="0" r="8255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45" cy="5706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FC">
      <w:rPr>
        <w:noProof/>
        <w:lang w:eastAsia="cs-CZ"/>
      </w:rPr>
      <w:drawing>
        <wp:inline distT="0" distB="0" distL="0" distR="0" wp14:anchorId="558D9F00" wp14:editId="3519A78E">
          <wp:extent cx="4261294" cy="703751"/>
          <wp:effectExtent l="0" t="0" r="6350" b="127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668" cy="713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C54" w:rsidRPr="0038772F" w:rsidRDefault="00026852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935" distR="114935" simplePos="0" relativeHeight="251669504" behindDoc="0" locked="0" layoutInCell="1" allowOverlap="1" wp14:anchorId="14EDDBC1" wp14:editId="04143569">
          <wp:simplePos x="0" y="0"/>
          <wp:positionH relativeFrom="column">
            <wp:posOffset>4566285</wp:posOffset>
          </wp:positionH>
          <wp:positionV relativeFrom="paragraph">
            <wp:posOffset>-294493</wp:posOffset>
          </wp:positionV>
          <wp:extent cx="1076325" cy="65024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C54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77816BAA" wp14:editId="3B0C5F54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C54" w:rsidRDefault="008C1C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42C"/>
    <w:multiLevelType w:val="hybridMultilevel"/>
    <w:tmpl w:val="67A0C8EC"/>
    <w:lvl w:ilvl="0" w:tplc="321480D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4988"/>
    <w:multiLevelType w:val="hybridMultilevel"/>
    <w:tmpl w:val="41E0A230"/>
    <w:lvl w:ilvl="0" w:tplc="0405000F">
      <w:start w:val="1"/>
      <w:numFmt w:val="decimal"/>
      <w:lvlText w:val="%1."/>
      <w:lvlJc w:val="left"/>
      <w:pPr>
        <w:ind w:left="393" w:hanging="360"/>
      </w:p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23DE"/>
    <w:multiLevelType w:val="hybridMultilevel"/>
    <w:tmpl w:val="1E6A2D98"/>
    <w:lvl w:ilvl="0" w:tplc="19286EE0">
      <w:start w:val="1"/>
      <w:numFmt w:val="decimal"/>
      <w:lvlText w:val="%1."/>
      <w:lvlJc w:val="left"/>
      <w:pPr>
        <w:ind w:left="708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A5F0866"/>
    <w:multiLevelType w:val="hybridMultilevel"/>
    <w:tmpl w:val="D5AEF4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74D58"/>
    <w:multiLevelType w:val="hybridMultilevel"/>
    <w:tmpl w:val="BC28D1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CA1"/>
    <w:multiLevelType w:val="hybridMultilevel"/>
    <w:tmpl w:val="A5CA9E94"/>
    <w:lvl w:ilvl="0" w:tplc="4656BDB0">
      <w:start w:val="1"/>
      <w:numFmt w:val="decimal"/>
      <w:lvlText w:val="%1."/>
      <w:lvlJc w:val="left"/>
      <w:pPr>
        <w:ind w:left="708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20822"/>
    <w:rsid w:val="000245A6"/>
    <w:rsid w:val="0002476A"/>
    <w:rsid w:val="00026852"/>
    <w:rsid w:val="00032A5B"/>
    <w:rsid w:val="00036391"/>
    <w:rsid w:val="00052A20"/>
    <w:rsid w:val="00052E04"/>
    <w:rsid w:val="000536D6"/>
    <w:rsid w:val="000721BB"/>
    <w:rsid w:val="00073585"/>
    <w:rsid w:val="000A59E7"/>
    <w:rsid w:val="000A62F5"/>
    <w:rsid w:val="000B509C"/>
    <w:rsid w:val="000D0389"/>
    <w:rsid w:val="000D45FF"/>
    <w:rsid w:val="000D7C5C"/>
    <w:rsid w:val="000F3EE2"/>
    <w:rsid w:val="0010190B"/>
    <w:rsid w:val="00106F3E"/>
    <w:rsid w:val="00114B55"/>
    <w:rsid w:val="0019590B"/>
    <w:rsid w:val="001A3701"/>
    <w:rsid w:val="001B7A36"/>
    <w:rsid w:val="001C02FB"/>
    <w:rsid w:val="001C5CF6"/>
    <w:rsid w:val="001D3778"/>
    <w:rsid w:val="001D4ACF"/>
    <w:rsid w:val="001D7530"/>
    <w:rsid w:val="00214A65"/>
    <w:rsid w:val="00234387"/>
    <w:rsid w:val="00243FB9"/>
    <w:rsid w:val="00262862"/>
    <w:rsid w:val="00273293"/>
    <w:rsid w:val="00296169"/>
    <w:rsid w:val="002B6DD3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3F4E62"/>
    <w:rsid w:val="004143F4"/>
    <w:rsid w:val="0042469A"/>
    <w:rsid w:val="00440F7A"/>
    <w:rsid w:val="004459A5"/>
    <w:rsid w:val="004533B6"/>
    <w:rsid w:val="00456966"/>
    <w:rsid w:val="00461F14"/>
    <w:rsid w:val="00480A9C"/>
    <w:rsid w:val="00484959"/>
    <w:rsid w:val="00490274"/>
    <w:rsid w:val="004A66EA"/>
    <w:rsid w:val="00511FD4"/>
    <w:rsid w:val="005162A1"/>
    <w:rsid w:val="00524804"/>
    <w:rsid w:val="005263FB"/>
    <w:rsid w:val="00527059"/>
    <w:rsid w:val="00531A79"/>
    <w:rsid w:val="00550D27"/>
    <w:rsid w:val="00555E71"/>
    <w:rsid w:val="0056491C"/>
    <w:rsid w:val="00582323"/>
    <w:rsid w:val="00593A5B"/>
    <w:rsid w:val="005C683C"/>
    <w:rsid w:val="005D1548"/>
    <w:rsid w:val="005E2029"/>
    <w:rsid w:val="005E372B"/>
    <w:rsid w:val="005F14C0"/>
    <w:rsid w:val="005F7A4F"/>
    <w:rsid w:val="00622671"/>
    <w:rsid w:val="00626605"/>
    <w:rsid w:val="00631432"/>
    <w:rsid w:val="00632522"/>
    <w:rsid w:val="00640450"/>
    <w:rsid w:val="00641767"/>
    <w:rsid w:val="0065139E"/>
    <w:rsid w:val="00674860"/>
    <w:rsid w:val="00685335"/>
    <w:rsid w:val="00691DB9"/>
    <w:rsid w:val="00695672"/>
    <w:rsid w:val="006A4580"/>
    <w:rsid w:val="006A7E4D"/>
    <w:rsid w:val="006B075D"/>
    <w:rsid w:val="006B4475"/>
    <w:rsid w:val="006D21C5"/>
    <w:rsid w:val="006E7421"/>
    <w:rsid w:val="0072622D"/>
    <w:rsid w:val="0073114F"/>
    <w:rsid w:val="00742E86"/>
    <w:rsid w:val="007442C4"/>
    <w:rsid w:val="00746626"/>
    <w:rsid w:val="00753E0B"/>
    <w:rsid w:val="0075675E"/>
    <w:rsid w:val="00796A6A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46897"/>
    <w:rsid w:val="008706FA"/>
    <w:rsid w:val="00874ED5"/>
    <w:rsid w:val="008821A8"/>
    <w:rsid w:val="0089008D"/>
    <w:rsid w:val="008907D7"/>
    <w:rsid w:val="0089302D"/>
    <w:rsid w:val="00897540"/>
    <w:rsid w:val="008B6975"/>
    <w:rsid w:val="008C1C54"/>
    <w:rsid w:val="00914F82"/>
    <w:rsid w:val="00946DFF"/>
    <w:rsid w:val="0097765E"/>
    <w:rsid w:val="00996C51"/>
    <w:rsid w:val="009C6CE8"/>
    <w:rsid w:val="009D22D6"/>
    <w:rsid w:val="009E40CF"/>
    <w:rsid w:val="00A24865"/>
    <w:rsid w:val="00A33CA0"/>
    <w:rsid w:val="00A41491"/>
    <w:rsid w:val="00A64B3C"/>
    <w:rsid w:val="00A74ED1"/>
    <w:rsid w:val="00A94DE2"/>
    <w:rsid w:val="00AA1B2E"/>
    <w:rsid w:val="00AA7F42"/>
    <w:rsid w:val="00AD04FC"/>
    <w:rsid w:val="00AE2893"/>
    <w:rsid w:val="00B22A74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581"/>
    <w:rsid w:val="00C339A3"/>
    <w:rsid w:val="00C54894"/>
    <w:rsid w:val="00C851A3"/>
    <w:rsid w:val="00C8619F"/>
    <w:rsid w:val="00CB34B5"/>
    <w:rsid w:val="00CC349E"/>
    <w:rsid w:val="00CD4021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C3439"/>
    <w:rsid w:val="00DD0069"/>
    <w:rsid w:val="00DF55B8"/>
    <w:rsid w:val="00E00623"/>
    <w:rsid w:val="00E40593"/>
    <w:rsid w:val="00E43FAD"/>
    <w:rsid w:val="00E62BD1"/>
    <w:rsid w:val="00E72A3C"/>
    <w:rsid w:val="00E96190"/>
    <w:rsid w:val="00F003D2"/>
    <w:rsid w:val="00F05B12"/>
    <w:rsid w:val="00F228E1"/>
    <w:rsid w:val="00F30014"/>
    <w:rsid w:val="00F326C9"/>
    <w:rsid w:val="00F355AF"/>
    <w:rsid w:val="00F46798"/>
    <w:rsid w:val="00F55941"/>
    <w:rsid w:val="00F57277"/>
    <w:rsid w:val="00F76E49"/>
    <w:rsid w:val="00F815DD"/>
    <w:rsid w:val="00FA0727"/>
    <w:rsid w:val="00FA2873"/>
    <w:rsid w:val="00FB22E3"/>
    <w:rsid w:val="00FB6E9F"/>
    <w:rsid w:val="00FD050B"/>
    <w:rsid w:val="00FD5E37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paragraph" w:customStyle="1" w:styleId="Style7">
    <w:name w:val="Style7"/>
    <w:basedOn w:val="Normln"/>
    <w:uiPriority w:val="99"/>
    <w:rsid w:val="0002476A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character" w:customStyle="1" w:styleId="FontStyle25">
    <w:name w:val="Font Style25"/>
    <w:basedOn w:val="Standardnpsmoodstavce"/>
    <w:uiPriority w:val="99"/>
    <w:rsid w:val="0002476A"/>
    <w:rPr>
      <w:rFonts w:ascii="Arial" w:hAnsi="Arial" w:cs="Arial"/>
      <w:sz w:val="18"/>
      <w:szCs w:val="18"/>
    </w:rPr>
  </w:style>
  <w:style w:type="paragraph" w:customStyle="1" w:styleId="Default">
    <w:name w:val="Default"/>
    <w:rsid w:val="00234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paragraph" w:customStyle="1" w:styleId="Style7">
    <w:name w:val="Style7"/>
    <w:basedOn w:val="Normln"/>
    <w:uiPriority w:val="99"/>
    <w:rsid w:val="0002476A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character" w:customStyle="1" w:styleId="FontStyle25">
    <w:name w:val="Font Style25"/>
    <w:basedOn w:val="Standardnpsmoodstavce"/>
    <w:uiPriority w:val="99"/>
    <w:rsid w:val="0002476A"/>
    <w:rPr>
      <w:rFonts w:ascii="Arial" w:hAnsi="Arial" w:cs="Arial"/>
      <w:sz w:val="18"/>
      <w:szCs w:val="18"/>
    </w:rPr>
  </w:style>
  <w:style w:type="paragraph" w:customStyle="1" w:styleId="Default">
    <w:name w:val="Default"/>
    <w:rsid w:val="00234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09E9-354A-47C8-8574-D429D213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1633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Roman Výduch</cp:lastModifiedBy>
  <cp:revision>19</cp:revision>
  <cp:lastPrinted>2016-01-13T09:56:00Z</cp:lastPrinted>
  <dcterms:created xsi:type="dcterms:W3CDTF">2017-04-04T08:13:00Z</dcterms:created>
  <dcterms:modified xsi:type="dcterms:W3CDTF">2017-06-08T09:57:00Z</dcterms:modified>
</cp:coreProperties>
</file>